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7B" w:rsidRPr="0034737B" w:rsidRDefault="0034737B" w:rsidP="0034737B">
      <w:pPr>
        <w:jc w:val="center"/>
        <w:rPr>
          <w:rFonts w:asciiTheme="majorEastAsia" w:eastAsiaTheme="majorEastAsia" w:hAnsiTheme="majorEastAsia"/>
          <w:b/>
          <w:sz w:val="44"/>
          <w:szCs w:val="44"/>
        </w:rPr>
      </w:pPr>
      <w:r w:rsidRPr="0034737B">
        <w:rPr>
          <w:rFonts w:asciiTheme="majorEastAsia" w:eastAsiaTheme="majorEastAsia" w:hAnsiTheme="majorEastAsia" w:hint="eastAsia"/>
          <w:b/>
          <w:sz w:val="44"/>
          <w:szCs w:val="44"/>
        </w:rPr>
        <w:t>2018广东“民营经济十条”</w:t>
      </w:r>
      <w:r>
        <w:rPr>
          <w:rFonts w:asciiTheme="majorEastAsia" w:eastAsiaTheme="majorEastAsia" w:hAnsiTheme="majorEastAsia" w:hint="eastAsia"/>
          <w:b/>
          <w:sz w:val="44"/>
          <w:szCs w:val="44"/>
        </w:rPr>
        <w:t>亮点</w:t>
      </w:r>
    </w:p>
    <w:p w:rsidR="0034737B" w:rsidRPr="0034737B" w:rsidRDefault="0034737B" w:rsidP="0034737B">
      <w:pPr>
        <w:jc w:val="center"/>
        <w:rPr>
          <w:rFonts w:asciiTheme="majorEastAsia" w:eastAsiaTheme="majorEastAsia" w:hAnsiTheme="majorEastAsia"/>
          <w:b/>
          <w:sz w:val="44"/>
          <w:szCs w:val="44"/>
        </w:rPr>
      </w:pP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为深入贯彻落实习近平总书记</w:t>
      </w:r>
      <w:r w:rsidR="00F85A8C">
        <w:rPr>
          <w:rFonts w:ascii="仿宋" w:eastAsia="仿宋" w:hAnsi="仿宋" w:hint="eastAsia"/>
          <w:sz w:val="32"/>
          <w:szCs w:val="32"/>
        </w:rPr>
        <w:t>考察广东时</w:t>
      </w:r>
      <w:r w:rsidRPr="0034737B">
        <w:rPr>
          <w:rFonts w:ascii="仿宋" w:eastAsia="仿宋" w:hAnsi="仿宋" w:hint="eastAsia"/>
          <w:sz w:val="32"/>
          <w:szCs w:val="32"/>
        </w:rPr>
        <w:t>鼓励支持民营企业发展重要论述精神和党中央支持民营经济发展的决策部署，</w:t>
      </w:r>
      <w:r w:rsidR="00F85A8C" w:rsidRPr="00F85A8C">
        <w:rPr>
          <w:rFonts w:ascii="仿宋" w:eastAsia="仿宋" w:hAnsi="仿宋"/>
          <w:color w:val="333333"/>
          <w:sz w:val="32"/>
          <w:szCs w:val="32"/>
          <w:shd w:val="clear" w:color="auto" w:fill="F7F8F8"/>
        </w:rPr>
        <w:t>广东省委省政府</w:t>
      </w:r>
      <w:r w:rsidR="00F85A8C">
        <w:rPr>
          <w:rFonts w:ascii="仿宋" w:eastAsia="仿宋" w:hAnsi="仿宋" w:hint="eastAsia"/>
          <w:sz w:val="32"/>
          <w:szCs w:val="32"/>
        </w:rPr>
        <w:t>发布</w:t>
      </w:r>
      <w:r w:rsidRPr="00F85A8C">
        <w:rPr>
          <w:rFonts w:ascii="仿宋" w:eastAsia="仿宋" w:hAnsi="仿宋" w:hint="eastAsia"/>
          <w:sz w:val="32"/>
          <w:szCs w:val="32"/>
        </w:rPr>
        <w:t>《</w:t>
      </w:r>
      <w:r w:rsidRPr="0034737B">
        <w:rPr>
          <w:rFonts w:ascii="仿宋" w:eastAsia="仿宋" w:hAnsi="仿宋" w:hint="eastAsia"/>
          <w:sz w:val="32"/>
          <w:szCs w:val="32"/>
        </w:rPr>
        <w:t>中共广东省委办公厅</w:t>
      </w:r>
      <w:r w:rsidR="00DF5BCD">
        <w:rPr>
          <w:rFonts w:ascii="仿宋" w:eastAsia="仿宋" w:hAnsi="仿宋" w:hint="eastAsia"/>
          <w:sz w:val="32"/>
          <w:szCs w:val="32"/>
        </w:rPr>
        <w:t xml:space="preserve">  </w:t>
      </w:r>
      <w:r w:rsidRPr="0034737B">
        <w:rPr>
          <w:rFonts w:ascii="仿宋" w:eastAsia="仿宋" w:hAnsi="仿宋" w:hint="eastAsia"/>
          <w:sz w:val="32"/>
          <w:szCs w:val="32"/>
        </w:rPr>
        <w:t>广东省人民政府办公厅关于促进民营经济高质量发展的若干政策措施》(简称“民营经济十条”)。目前，“民营经济十条”已由省委常委会、省政府常务会审议通过，由省委、省政府印发实施。这些措施聚焦当前广东民营经济发展遇到的</w:t>
      </w:r>
      <w:r>
        <w:rPr>
          <w:rFonts w:ascii="仿宋" w:eastAsia="仿宋" w:hAnsi="仿宋" w:hint="eastAsia"/>
          <w:sz w:val="32"/>
          <w:szCs w:val="32"/>
        </w:rPr>
        <w:t>突出矛盾和问题，着眼于营造有利于民营经济发展的良好营商环境，</w:t>
      </w:r>
      <w:r w:rsidRPr="0034737B">
        <w:rPr>
          <w:rFonts w:ascii="仿宋" w:eastAsia="仿宋" w:hAnsi="仿宋" w:hint="eastAsia"/>
          <w:sz w:val="32"/>
          <w:szCs w:val="32"/>
        </w:rPr>
        <w:t>在10个方面作出了针对性部署，对推动广东省民营经济高质量发展具有十分重要的意义。</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t>亮点一、进一步优化审批服务。</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1、企业开办时间压缩到5个工作日内;</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2、广州、深圳率先在2018年年底前将工程建设项目平均审批时限压减至100个工作日内，全省2019年上半年实现这一目标;</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3、开展企业投资项目承诺制改革试点;</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4、加快“多证合一”“证照分离”改革;</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5、全面推行工业产品生产许可证“一企一证”改革。</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t>亮点二、进一步放宽市场准入。</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lastRenderedPageBreak/>
        <w:t>1、市场准入负面清单以外的行业、领域、业务等，各类市场主体均可依法平等进入;</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2、鼓励民间资本进入可实行市场化运作的领域;</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3、民营企业与其他类型企业按同等标准、同等待遇参与PPP项目。</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t>亮点三、降低民营企业生产经营成本。</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1、对符合条件的企业和电网企业在一定时期内未抵扣完的增值税进项税额予以一次性退还;</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2、2018年年底前将省天然气管网公司电厂用户的代输价格降至0.15元/立方米</w:t>
      </w:r>
      <w:r w:rsidR="00DF5BCD">
        <w:rPr>
          <w:rFonts w:ascii="仿宋" w:eastAsia="仿宋" w:hAnsi="仿宋" w:hint="eastAsia"/>
          <w:sz w:val="32"/>
          <w:szCs w:val="32"/>
        </w:rPr>
        <w:t>，其他用户</w:t>
      </w:r>
      <w:r w:rsidR="00DF5BCD" w:rsidRPr="0034737B">
        <w:rPr>
          <w:rFonts w:ascii="仿宋" w:eastAsia="仿宋" w:hAnsi="仿宋" w:hint="eastAsia"/>
          <w:sz w:val="32"/>
          <w:szCs w:val="32"/>
        </w:rPr>
        <w:t>代输价格降至</w:t>
      </w:r>
      <w:r w:rsidR="00DF5BCD">
        <w:rPr>
          <w:rFonts w:ascii="仿宋" w:eastAsia="仿宋" w:hAnsi="仿宋" w:hint="eastAsia"/>
          <w:sz w:val="32"/>
          <w:szCs w:val="32"/>
        </w:rPr>
        <w:t>0.2</w:t>
      </w:r>
      <w:r w:rsidR="00DF5BCD" w:rsidRPr="0034737B">
        <w:rPr>
          <w:rFonts w:ascii="仿宋" w:eastAsia="仿宋" w:hAnsi="仿宋" w:hint="eastAsia"/>
          <w:sz w:val="32"/>
          <w:szCs w:val="32"/>
        </w:rPr>
        <w:t>元/立方米</w:t>
      </w:r>
      <w:r w:rsidRPr="0034737B">
        <w:rPr>
          <w:rFonts w:ascii="仿宋" w:eastAsia="仿宋" w:hAnsi="仿宋" w:hint="eastAsia"/>
          <w:sz w:val="32"/>
          <w:szCs w:val="32"/>
        </w:rPr>
        <w:t>;</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3、支持民营企业利用“三旧”改造等政策完善历史用地手续。</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t>亮点四、缓解民营企业融资难融资贵。</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1、单户授信总额1000万元以下(含)的小微企业贷款同比增速不低于各项贷款同比增速;</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2、推广银税合作模式，根据企业纳税信息给予便捷高效的信用贷款;</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3、鼓励符合条件的民营企业发行企业债券;</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4、推广专利权、著作权等知识产权质押融资;</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5、鼓励各地推进中小企业设备融资租赁。</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lastRenderedPageBreak/>
        <w:t>亮点五、健全民营企业公共服务体系。</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1、建立省级跨部门涉企政策“一站式”网上发布平台;</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2、2020年实现省市县中小企业服务中心建设全覆盖;</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3、在全省推广发放中小微企业服务券。</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t>亮点六、推动民营企业创新发展。</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1、支持民营骨干企业承担国家及省、市重大和重点科技攻关项目;</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2、积极推动中国创新创业大赛、“创客广东”大赛等获奖项目在广东省落地;</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3、打造集商标查询统计、法律咨询、侵权预警为一体的商标保护体系;</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4、建设一批检验检测认证“一站式”服务平台，实现“最多跑一次”。</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t>亮点七、支持民营企业培养和引进人才。</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1、实施新粤商培训工程;</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2、支持民营企业推行特级技师、企业首席技师制度;</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3、将符合条件的民营企业高层次人才纳入“优粤卡”服务对象;</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4、外地户籍的高层次人才子女义务教育阶段按照“免试就近入学”原则统筹安排。</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lastRenderedPageBreak/>
        <w:t>亮点八、强化对民营企业的合法权益保护。</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1、保护企业家财产权;</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2、力争2018年实现90%以上有财产可供执行案件在法定期限内执行完毕;</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w:t>
      </w:r>
      <w:r w:rsidR="00DF5BCD">
        <w:rPr>
          <w:rFonts w:ascii="仿宋" w:eastAsia="仿宋" w:hAnsi="仿宋" w:hint="eastAsia"/>
          <w:sz w:val="32"/>
          <w:szCs w:val="32"/>
        </w:rPr>
        <w:t>建立知识产权案件快审机制，</w:t>
      </w:r>
      <w:r w:rsidRPr="0034737B">
        <w:rPr>
          <w:rFonts w:ascii="仿宋" w:eastAsia="仿宋" w:hAnsi="仿宋" w:hint="eastAsia"/>
          <w:sz w:val="32"/>
          <w:szCs w:val="32"/>
        </w:rPr>
        <w:t>推进知识产权民事、刑事、行政案件审判“三审合一”;</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4、为企业开展内部腐败风险防控提供专业服务;</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5、对</w:t>
      </w:r>
      <w:r w:rsidR="00DF5BCD">
        <w:rPr>
          <w:rFonts w:ascii="仿宋" w:eastAsia="仿宋" w:hAnsi="仿宋" w:hint="eastAsia"/>
          <w:sz w:val="32"/>
          <w:szCs w:val="32"/>
        </w:rPr>
        <w:t>涉民营企业的</w:t>
      </w:r>
      <w:r w:rsidRPr="0034737B">
        <w:rPr>
          <w:rFonts w:ascii="仿宋" w:eastAsia="仿宋" w:hAnsi="仿宋" w:hint="eastAsia"/>
          <w:sz w:val="32"/>
          <w:szCs w:val="32"/>
        </w:rPr>
        <w:t>重大经济犯罪案件实行挂案督办。</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t>亮点九、弘扬企业家精神。</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1、打造《风云粤商》等品牌活动</w:t>
      </w:r>
      <w:r w:rsidR="00DF5BCD">
        <w:rPr>
          <w:rFonts w:ascii="仿宋" w:eastAsia="仿宋" w:hAnsi="仿宋" w:hint="eastAsia"/>
          <w:sz w:val="32"/>
          <w:szCs w:val="32"/>
        </w:rPr>
        <w:t>，弘扬新时代粤商精神</w:t>
      </w:r>
      <w:r w:rsidRPr="0034737B">
        <w:rPr>
          <w:rFonts w:ascii="仿宋" w:eastAsia="仿宋" w:hAnsi="仿宋" w:hint="eastAsia"/>
          <w:sz w:val="32"/>
          <w:szCs w:val="32"/>
        </w:rPr>
        <w:t>;</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2、定期发布广东民营企业社会责任报告;</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3、在人大代表、政协委员人选推荐中，积极评选推荐优秀民营企业家。</w:t>
      </w:r>
    </w:p>
    <w:p w:rsidR="0034737B" w:rsidRPr="0034737B" w:rsidRDefault="0034737B" w:rsidP="0034737B">
      <w:pPr>
        <w:ind w:firstLineChars="200" w:firstLine="643"/>
        <w:rPr>
          <w:rFonts w:ascii="仿宋" w:eastAsia="仿宋" w:hAnsi="仿宋"/>
          <w:b/>
          <w:sz w:val="32"/>
          <w:szCs w:val="32"/>
        </w:rPr>
      </w:pPr>
      <w:r w:rsidRPr="0034737B">
        <w:rPr>
          <w:rFonts w:ascii="仿宋" w:eastAsia="仿宋" w:hAnsi="仿宋" w:hint="eastAsia"/>
          <w:b/>
          <w:sz w:val="32"/>
          <w:szCs w:val="32"/>
        </w:rPr>
        <w:t>亮点十、构建亲清新型政商关系。</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1、建立省市县三级政府主要负责同志与企业家面对面协商机制;</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2、推广企业首席服务官制度，“一对一”跟踪协调解决企业发展中的困难;</w:t>
      </w:r>
    </w:p>
    <w:p w:rsidR="0034737B" w:rsidRP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t>3、切实履行与民营企业依法签订的合同，杜绝“新官不理旧账”的情况;</w:t>
      </w:r>
    </w:p>
    <w:p w:rsidR="0034737B" w:rsidRDefault="0034737B" w:rsidP="0034737B">
      <w:pPr>
        <w:ind w:firstLineChars="200" w:firstLine="640"/>
        <w:rPr>
          <w:rFonts w:ascii="仿宋" w:eastAsia="仿宋" w:hAnsi="仿宋"/>
          <w:sz w:val="32"/>
          <w:szCs w:val="32"/>
        </w:rPr>
      </w:pPr>
      <w:r w:rsidRPr="0034737B">
        <w:rPr>
          <w:rFonts w:ascii="仿宋" w:eastAsia="仿宋" w:hAnsi="仿宋" w:hint="eastAsia"/>
          <w:sz w:val="32"/>
          <w:szCs w:val="32"/>
        </w:rPr>
        <w:lastRenderedPageBreak/>
        <w:t>4、对涉及官商勾结、为官不为等问题线索的实名举报100%核查;</w:t>
      </w:r>
    </w:p>
    <w:p w:rsidR="0022199F" w:rsidRDefault="0034737B" w:rsidP="0022199F">
      <w:pPr>
        <w:ind w:firstLineChars="200" w:firstLine="640"/>
        <w:rPr>
          <w:rFonts w:ascii="仿宋" w:eastAsia="仿宋" w:hAnsi="仿宋" w:hint="eastAsia"/>
          <w:sz w:val="32"/>
          <w:szCs w:val="32"/>
        </w:rPr>
      </w:pPr>
      <w:r w:rsidRPr="0034737B">
        <w:rPr>
          <w:rFonts w:ascii="仿宋" w:eastAsia="仿宋" w:hAnsi="仿宋" w:hint="eastAsia"/>
          <w:sz w:val="32"/>
          <w:szCs w:val="32"/>
        </w:rPr>
        <w:t>5、对民营企业的执法检查事项，原则上均采取“双随机一公开”的方式进行。</w:t>
      </w:r>
    </w:p>
    <w:p w:rsidR="0022199F" w:rsidRPr="0022199F" w:rsidRDefault="0022199F" w:rsidP="0022199F">
      <w:pPr>
        <w:ind w:firstLineChars="200" w:firstLine="640"/>
        <w:rPr>
          <w:rFonts w:ascii="仿宋" w:eastAsia="仿宋" w:hAnsi="仿宋" w:hint="eastAsia"/>
          <w:sz w:val="32"/>
          <w:szCs w:val="32"/>
        </w:rPr>
      </w:pPr>
      <w:r w:rsidRPr="0022199F">
        <w:rPr>
          <w:rFonts w:ascii="仿宋" w:eastAsia="仿宋" w:hAnsi="仿宋" w:hint="eastAsia"/>
          <w:sz w:val="32"/>
          <w:szCs w:val="32"/>
        </w:rPr>
        <w:t>可见，这次发布的“民营经济十条”主要针对性解决三个问题：</w:t>
      </w:r>
      <w:r w:rsidRPr="0022199F">
        <w:rPr>
          <w:rFonts w:eastAsia="仿宋" w:hint="eastAsia"/>
          <w:sz w:val="32"/>
          <w:szCs w:val="32"/>
        </w:rPr>
        <w:t> </w:t>
      </w:r>
      <w:r w:rsidRPr="0022199F">
        <w:rPr>
          <w:rFonts w:ascii="仿宋" w:eastAsia="仿宋" w:hAnsi="仿宋" w:hint="eastAsia"/>
          <w:sz w:val="32"/>
          <w:szCs w:val="32"/>
        </w:rPr>
        <w:t>一是提出开展企业投资项目承诺制改革试点，尽可能为企业增便利降成本。</w:t>
      </w:r>
      <w:r w:rsidRPr="0022199F">
        <w:rPr>
          <w:rFonts w:eastAsia="仿宋" w:hint="eastAsia"/>
          <w:sz w:val="32"/>
          <w:szCs w:val="32"/>
        </w:rPr>
        <w:t> </w:t>
      </w:r>
      <w:r w:rsidRPr="0022199F">
        <w:rPr>
          <w:rFonts w:ascii="仿宋" w:eastAsia="仿宋" w:hAnsi="仿宋" w:hint="eastAsia"/>
          <w:sz w:val="32"/>
          <w:szCs w:val="32"/>
        </w:rPr>
        <w:t>二是强调民营经济和国有经济一视同仁，大中小企业平等对待。三是营造更有利于民营经济发展的法治环境，让民营企业放心干事创业。广东民企们，吃下这颗“定心丸”，安心谋发展！</w:t>
      </w:r>
    </w:p>
    <w:p w:rsidR="0022199F" w:rsidRPr="0022199F" w:rsidRDefault="0022199F" w:rsidP="0022199F"/>
    <w:sectPr w:rsidR="0022199F" w:rsidRPr="0022199F" w:rsidSect="0034737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688" w:rsidRDefault="002F3688" w:rsidP="00DF5BCD">
      <w:r>
        <w:separator/>
      </w:r>
    </w:p>
  </w:endnote>
  <w:endnote w:type="continuationSeparator" w:id="0">
    <w:p w:rsidR="002F3688" w:rsidRDefault="002F3688" w:rsidP="00DF5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688" w:rsidRDefault="002F3688" w:rsidP="00DF5BCD">
      <w:r>
        <w:separator/>
      </w:r>
    </w:p>
  </w:footnote>
  <w:footnote w:type="continuationSeparator" w:id="0">
    <w:p w:rsidR="002F3688" w:rsidRDefault="002F3688" w:rsidP="00DF5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737B"/>
    <w:rsid w:val="001D6EA5"/>
    <w:rsid w:val="0022199F"/>
    <w:rsid w:val="0027767A"/>
    <w:rsid w:val="002C493D"/>
    <w:rsid w:val="002F3688"/>
    <w:rsid w:val="0034737B"/>
    <w:rsid w:val="004365E4"/>
    <w:rsid w:val="00674EE2"/>
    <w:rsid w:val="007253B6"/>
    <w:rsid w:val="009375CB"/>
    <w:rsid w:val="00AB4A4B"/>
    <w:rsid w:val="00B7730E"/>
    <w:rsid w:val="00DF5BCD"/>
    <w:rsid w:val="00EF0C21"/>
    <w:rsid w:val="00F85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21"/>
    <w:pPr>
      <w:widowControl w:val="0"/>
    </w:pPr>
  </w:style>
  <w:style w:type="paragraph" w:styleId="1">
    <w:name w:val="heading 1"/>
    <w:basedOn w:val="a"/>
    <w:next w:val="a"/>
    <w:link w:val="1Char"/>
    <w:uiPriority w:val="9"/>
    <w:qFormat/>
    <w:rsid w:val="0034737B"/>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473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737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4737B"/>
    <w:rPr>
      <w:color w:val="0000FF"/>
      <w:u w:val="single"/>
    </w:rPr>
  </w:style>
  <w:style w:type="character" w:styleId="a5">
    <w:name w:val="Strong"/>
    <w:basedOn w:val="a0"/>
    <w:uiPriority w:val="22"/>
    <w:qFormat/>
    <w:rsid w:val="0034737B"/>
    <w:rPr>
      <w:b/>
      <w:bCs/>
    </w:rPr>
  </w:style>
  <w:style w:type="character" w:customStyle="1" w:styleId="2Char">
    <w:name w:val="标题 2 Char"/>
    <w:basedOn w:val="a0"/>
    <w:link w:val="2"/>
    <w:uiPriority w:val="9"/>
    <w:rsid w:val="0034737B"/>
    <w:rPr>
      <w:rFonts w:ascii="宋体" w:eastAsia="宋体" w:hAnsi="宋体" w:cs="宋体"/>
      <w:b/>
      <w:bCs/>
      <w:kern w:val="0"/>
      <w:sz w:val="36"/>
      <w:szCs w:val="36"/>
    </w:rPr>
  </w:style>
  <w:style w:type="character" w:customStyle="1" w:styleId="1Char">
    <w:name w:val="标题 1 Char"/>
    <w:basedOn w:val="a0"/>
    <w:link w:val="1"/>
    <w:uiPriority w:val="9"/>
    <w:rsid w:val="0034737B"/>
    <w:rPr>
      <w:b/>
      <w:bCs/>
      <w:kern w:val="44"/>
      <w:sz w:val="44"/>
      <w:szCs w:val="44"/>
    </w:rPr>
  </w:style>
  <w:style w:type="paragraph" w:styleId="a6">
    <w:name w:val="header"/>
    <w:basedOn w:val="a"/>
    <w:link w:val="Char"/>
    <w:uiPriority w:val="99"/>
    <w:semiHidden/>
    <w:unhideWhenUsed/>
    <w:rsid w:val="00DF5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F5BCD"/>
    <w:rPr>
      <w:sz w:val="18"/>
      <w:szCs w:val="18"/>
    </w:rPr>
  </w:style>
  <w:style w:type="paragraph" w:styleId="a7">
    <w:name w:val="footer"/>
    <w:basedOn w:val="a"/>
    <w:link w:val="Char0"/>
    <w:uiPriority w:val="99"/>
    <w:semiHidden/>
    <w:unhideWhenUsed/>
    <w:rsid w:val="00DF5BC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F5BCD"/>
    <w:rPr>
      <w:sz w:val="18"/>
      <w:szCs w:val="18"/>
    </w:rPr>
  </w:style>
</w:styles>
</file>

<file path=word/webSettings.xml><?xml version="1.0" encoding="utf-8"?>
<w:webSettings xmlns:r="http://schemas.openxmlformats.org/officeDocument/2006/relationships" xmlns:w="http://schemas.openxmlformats.org/wordprocessingml/2006/main">
  <w:divs>
    <w:div w:id="934241">
      <w:bodyDiv w:val="1"/>
      <w:marLeft w:val="0"/>
      <w:marRight w:val="0"/>
      <w:marTop w:val="0"/>
      <w:marBottom w:val="0"/>
      <w:divBdr>
        <w:top w:val="none" w:sz="0" w:space="0" w:color="auto"/>
        <w:left w:val="none" w:sz="0" w:space="0" w:color="auto"/>
        <w:bottom w:val="none" w:sz="0" w:space="0" w:color="auto"/>
        <w:right w:val="none" w:sz="0" w:space="0" w:color="auto"/>
      </w:divBdr>
    </w:div>
    <w:div w:id="178088773">
      <w:bodyDiv w:val="1"/>
      <w:marLeft w:val="0"/>
      <w:marRight w:val="0"/>
      <w:marTop w:val="0"/>
      <w:marBottom w:val="0"/>
      <w:divBdr>
        <w:top w:val="none" w:sz="0" w:space="0" w:color="auto"/>
        <w:left w:val="none" w:sz="0" w:space="0" w:color="auto"/>
        <w:bottom w:val="none" w:sz="0" w:space="0" w:color="auto"/>
        <w:right w:val="none" w:sz="0" w:space="0" w:color="auto"/>
      </w:divBdr>
    </w:div>
    <w:div w:id="631132923">
      <w:bodyDiv w:val="1"/>
      <w:marLeft w:val="0"/>
      <w:marRight w:val="0"/>
      <w:marTop w:val="0"/>
      <w:marBottom w:val="0"/>
      <w:divBdr>
        <w:top w:val="none" w:sz="0" w:space="0" w:color="auto"/>
        <w:left w:val="none" w:sz="0" w:space="0" w:color="auto"/>
        <w:bottom w:val="none" w:sz="0" w:space="0" w:color="auto"/>
        <w:right w:val="none" w:sz="0" w:space="0" w:color="auto"/>
      </w:divBdr>
    </w:div>
    <w:div w:id="922105875">
      <w:bodyDiv w:val="1"/>
      <w:marLeft w:val="0"/>
      <w:marRight w:val="0"/>
      <w:marTop w:val="0"/>
      <w:marBottom w:val="0"/>
      <w:divBdr>
        <w:top w:val="none" w:sz="0" w:space="0" w:color="auto"/>
        <w:left w:val="none" w:sz="0" w:space="0" w:color="auto"/>
        <w:bottom w:val="none" w:sz="0" w:space="0" w:color="auto"/>
        <w:right w:val="none" w:sz="0" w:space="0" w:color="auto"/>
      </w:divBdr>
    </w:div>
    <w:div w:id="958950938">
      <w:bodyDiv w:val="1"/>
      <w:marLeft w:val="0"/>
      <w:marRight w:val="0"/>
      <w:marTop w:val="0"/>
      <w:marBottom w:val="0"/>
      <w:divBdr>
        <w:top w:val="none" w:sz="0" w:space="0" w:color="auto"/>
        <w:left w:val="none" w:sz="0" w:space="0" w:color="auto"/>
        <w:bottom w:val="none" w:sz="0" w:space="0" w:color="auto"/>
        <w:right w:val="none" w:sz="0" w:space="0" w:color="auto"/>
      </w:divBdr>
    </w:div>
    <w:div w:id="1016155749">
      <w:bodyDiv w:val="1"/>
      <w:marLeft w:val="0"/>
      <w:marRight w:val="0"/>
      <w:marTop w:val="0"/>
      <w:marBottom w:val="0"/>
      <w:divBdr>
        <w:top w:val="none" w:sz="0" w:space="0" w:color="auto"/>
        <w:left w:val="none" w:sz="0" w:space="0" w:color="auto"/>
        <w:bottom w:val="none" w:sz="0" w:space="0" w:color="auto"/>
        <w:right w:val="none" w:sz="0" w:space="0" w:color="auto"/>
      </w:divBdr>
    </w:div>
    <w:div w:id="1555434181">
      <w:bodyDiv w:val="1"/>
      <w:marLeft w:val="0"/>
      <w:marRight w:val="0"/>
      <w:marTop w:val="0"/>
      <w:marBottom w:val="0"/>
      <w:divBdr>
        <w:top w:val="none" w:sz="0" w:space="0" w:color="auto"/>
        <w:left w:val="none" w:sz="0" w:space="0" w:color="auto"/>
        <w:bottom w:val="none" w:sz="0" w:space="0" w:color="auto"/>
        <w:right w:val="none" w:sz="0" w:space="0" w:color="auto"/>
      </w:divBdr>
    </w:div>
    <w:div w:id="17266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2018-11-22T03:28:00Z</dcterms:created>
  <dcterms:modified xsi:type="dcterms:W3CDTF">2018-12-07T09:08:00Z</dcterms:modified>
</cp:coreProperties>
</file>